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528"/>
      </w:tblGrid>
      <w:tr w:rsidR="00BF1CB1" w:rsidTr="00BF1CB1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CB1" w:rsidRPr="00BF1CB1" w:rsidRDefault="00BF1C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caps/>
                <w:sz w:val="36"/>
                <w:szCs w:val="36"/>
              </w:rPr>
            </w:pPr>
            <w:bookmarkStart w:id="0" w:name="_GoBack"/>
            <w:bookmarkEnd w:id="0"/>
            <w:r w:rsidRPr="00BF1CB1">
              <w:rPr>
                <w:rFonts w:asciiTheme="minorHAnsi" w:hAnsiTheme="minorHAnsi" w:cs="Arial"/>
                <w:b/>
                <w:caps/>
                <w:sz w:val="36"/>
                <w:szCs w:val="36"/>
              </w:rPr>
              <w:t>ocjena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CB1" w:rsidRPr="00BF1CB1" w:rsidRDefault="00BF1C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caps/>
                <w:sz w:val="36"/>
                <w:szCs w:val="36"/>
              </w:rPr>
            </w:pPr>
            <w:r w:rsidRPr="00BF1CB1">
              <w:rPr>
                <w:rFonts w:asciiTheme="minorHAnsi" w:hAnsiTheme="minorHAnsi" w:cs="Arial"/>
                <w:b/>
                <w:caps/>
                <w:sz w:val="36"/>
                <w:szCs w:val="36"/>
              </w:rPr>
              <w:t xml:space="preserve">opis </w:t>
            </w:r>
          </w:p>
        </w:tc>
      </w:tr>
      <w:tr w:rsidR="00BF1CB1" w:rsidTr="00BF1CB1">
        <w:trPr>
          <w:trHeight w:val="14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CB1" w:rsidRPr="00BF1CB1" w:rsidRDefault="00BF1C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BF1CB1">
              <w:rPr>
                <w:rFonts w:asciiTheme="minorHAnsi" w:hAnsiTheme="minorHAnsi" w:cs="Arial"/>
                <w:b/>
                <w:sz w:val="36"/>
                <w:szCs w:val="36"/>
              </w:rPr>
              <w:t>nedovoljan (1)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CB1" w:rsidRPr="00BF1CB1" w:rsidRDefault="00BF1CB1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1CB1">
              <w:rPr>
                <w:rFonts w:asciiTheme="minorHAnsi" w:hAnsiTheme="minorHAnsi" w:cs="Arial"/>
                <w:sz w:val="24"/>
                <w:szCs w:val="24"/>
              </w:rPr>
              <w:t>Učeni(k)ca ne prepoznaje temeljne pojmove ili ih samo može nabrojati. Ne pokazuje razumijevanje sadržaja niti uz pomoć nastavnika i nije ga u stanju samostalno reproducirati. Na pitanja ne odgovara ili odgovara nejasno, ne poznaje osnovne ključne pojmove. Slike ili tablične podatke ne povezuje i ne može ih interpretirati.</w:t>
            </w:r>
          </w:p>
        </w:tc>
      </w:tr>
      <w:tr w:rsidR="00BF1CB1" w:rsidTr="00BF1CB1">
        <w:trPr>
          <w:trHeight w:val="17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CB1" w:rsidRPr="00BF1CB1" w:rsidRDefault="00BF1CB1">
            <w:pPr>
              <w:tabs>
                <w:tab w:val="left" w:pos="2694"/>
              </w:tabs>
              <w:spacing w:after="0" w:line="240" w:lineRule="auto"/>
              <w:ind w:left="720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  <w:p w:rsidR="00BF1CB1" w:rsidRPr="00BF1CB1" w:rsidRDefault="00BF1C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BF1CB1">
              <w:rPr>
                <w:rFonts w:asciiTheme="minorHAnsi" w:hAnsiTheme="minorHAnsi" w:cs="Arial"/>
                <w:b/>
                <w:sz w:val="36"/>
                <w:szCs w:val="36"/>
              </w:rPr>
              <w:t>dovoljan (2)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CB1" w:rsidRPr="00BF1CB1" w:rsidRDefault="00BF1CB1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F1CB1">
              <w:rPr>
                <w:rFonts w:asciiTheme="minorHAnsi" w:hAnsiTheme="minorHAnsi" w:cs="Arial"/>
                <w:sz w:val="24"/>
                <w:szCs w:val="24"/>
              </w:rPr>
              <w:t>Učeni(k)ca reproducira i prepoznaje temeljne pojmove. Razumije sadržaj, ali ga ne zna primijeniti niti obrazložiti koristeći zadane primjere. Poznaje osnovne ključne pojmove, ali često griješi prilikom samostalnog interpr</w:t>
            </w:r>
            <w:r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BF1CB1">
              <w:rPr>
                <w:rFonts w:asciiTheme="minorHAnsi" w:hAnsiTheme="minorHAnsi" w:cs="Arial"/>
                <w:sz w:val="24"/>
                <w:szCs w:val="24"/>
              </w:rPr>
              <w:t xml:space="preserve">tiranja. Prepoznaje podatke na slikama, ali ih ne može samostalno interpretirati, niti uz pomoć nastavnika. Argumentira površno i nesigurno te je nejas(an)na u iznošenju gradiva. </w:t>
            </w:r>
          </w:p>
        </w:tc>
      </w:tr>
      <w:tr w:rsidR="00BF1CB1" w:rsidTr="00BF1CB1">
        <w:trPr>
          <w:trHeight w:val="20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CB1" w:rsidRPr="00BF1CB1" w:rsidRDefault="00BF1C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BF1CB1">
              <w:rPr>
                <w:rFonts w:asciiTheme="minorHAnsi" w:hAnsiTheme="minorHAnsi" w:cs="Arial"/>
                <w:b/>
                <w:sz w:val="36"/>
                <w:szCs w:val="36"/>
              </w:rPr>
              <w:t>dobar (3)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CB1" w:rsidRPr="00BF1CB1" w:rsidRDefault="00BF1CB1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F1CB1">
              <w:rPr>
                <w:rFonts w:asciiTheme="minorHAnsi" w:hAnsiTheme="minorHAnsi" w:cs="Arial"/>
                <w:sz w:val="24"/>
                <w:szCs w:val="24"/>
              </w:rPr>
              <w:t xml:space="preserve">Učeni(k)ca reproducira i prepoznaje temeljne pojmove. Razumije sadržaj, ali je površan u njegovoj primjeni. Sadržaj može obrazložiti koristeći zadane primjere, ali uz intervenciju nastavnika. Samostalno rješava jednostavne probleme i zadatke. Ponekad griješi prilikom samostalnog rješavanja složenijih problema . Povezuje podatke prikazane na slikama ili u tablicama ali ih interpretira uz pomoć nastavnika. Jasno izlaže sadržaj, ali je nejas(a)na u argumentiranju. </w:t>
            </w:r>
          </w:p>
        </w:tc>
      </w:tr>
      <w:tr w:rsidR="00BF1CB1" w:rsidTr="00BF1CB1">
        <w:trPr>
          <w:trHeight w:val="20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CB1" w:rsidRPr="00BF1CB1" w:rsidRDefault="00BF1C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BF1CB1">
              <w:rPr>
                <w:rFonts w:asciiTheme="minorHAnsi" w:hAnsiTheme="minorHAnsi" w:cs="Arial"/>
                <w:b/>
                <w:sz w:val="36"/>
                <w:szCs w:val="36"/>
              </w:rPr>
              <w:t>vrlo dobar (4)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CB1" w:rsidRPr="00BF1CB1" w:rsidRDefault="00BF1CB1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F1CB1">
              <w:rPr>
                <w:rFonts w:asciiTheme="minorHAnsi" w:hAnsiTheme="minorHAnsi" w:cs="Arial"/>
                <w:sz w:val="24"/>
                <w:szCs w:val="24"/>
              </w:rPr>
              <w:t>Reproducira i razumije obrađeni nastavni sadržaj. Poznaje temeljne pojmove, u stanju je nad</w:t>
            </w:r>
            <w:r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BF1CB1">
              <w:rPr>
                <w:rFonts w:asciiTheme="minorHAnsi" w:hAnsiTheme="minorHAnsi" w:cs="Arial"/>
                <w:sz w:val="24"/>
                <w:szCs w:val="24"/>
              </w:rPr>
              <w:t>građivati stečena znanja. Sadržaj obrazlaže uglavnom samostalno, koristi zadane primjere i samostalno rješava probleme i zadatke. Povezuje zadane podatke, tek se rijetko ne snalazi u složenim problemima i zadacima, ali nije samostal(a)na u povezivanju sadržaja prirode sa sadržajima drugih nastavnih predmeta i nije samostalan u prenošenju znanja drugima. Nesigurno argumentira.</w:t>
            </w:r>
          </w:p>
        </w:tc>
      </w:tr>
      <w:tr w:rsidR="00BF1CB1" w:rsidTr="00BF1CB1">
        <w:trPr>
          <w:trHeight w:val="8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CB1" w:rsidRPr="00BF1CB1" w:rsidRDefault="00BF1CB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BF1CB1">
              <w:rPr>
                <w:rFonts w:asciiTheme="minorHAnsi" w:hAnsiTheme="minorHAnsi" w:cs="Arial"/>
                <w:b/>
                <w:sz w:val="36"/>
                <w:szCs w:val="36"/>
              </w:rPr>
              <w:t>odličan (5)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CB1" w:rsidRPr="00BF1CB1" w:rsidRDefault="00BF1CB1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F1CB1">
              <w:rPr>
                <w:rFonts w:asciiTheme="minorHAnsi" w:hAnsiTheme="minorHAnsi" w:cs="Arial"/>
                <w:sz w:val="24"/>
                <w:szCs w:val="24"/>
              </w:rPr>
              <w:t>Reproducira, razumije, nad</w:t>
            </w:r>
            <w:r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BF1CB1">
              <w:rPr>
                <w:rFonts w:asciiTheme="minorHAnsi" w:hAnsiTheme="minorHAnsi" w:cs="Arial"/>
                <w:sz w:val="24"/>
                <w:szCs w:val="24"/>
              </w:rPr>
              <w:t xml:space="preserve">građuje stečena znanja. Samostalno obrazlaže sadržaj navodeći i vlastite primjere, rješava i složene probleme i zadatke. Povezuje podatke, korelira stečena znanja sa sadržajima drugih predmeta. Može prenositi svoja znanja drugima te sigurno i jasno izlaže vlastitu argumentaciju. </w:t>
            </w:r>
          </w:p>
        </w:tc>
      </w:tr>
    </w:tbl>
    <w:p w:rsidR="003B3062" w:rsidRDefault="003B3062"/>
    <w:p w:rsidR="00BF1CB1" w:rsidRPr="00BF1CB1" w:rsidRDefault="00BF1CB1">
      <w:pPr>
        <w:rPr>
          <w:b/>
          <w:sz w:val="36"/>
          <w:szCs w:val="36"/>
        </w:rPr>
      </w:pPr>
      <w:r w:rsidRPr="00BF1CB1">
        <w:rPr>
          <w:b/>
          <w:sz w:val="36"/>
          <w:szCs w:val="36"/>
        </w:rPr>
        <w:t>Pismeni ispiti:</w:t>
      </w:r>
    </w:p>
    <w:tbl>
      <w:tblPr>
        <w:tblpPr w:leftFromText="180" w:rightFromText="180" w:bottomFromText="200" w:vertAnchor="text" w:horzAnchor="page" w:tblpXSpec="center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0"/>
        <w:gridCol w:w="2239"/>
      </w:tblGrid>
      <w:tr w:rsidR="00BF1CB1" w:rsidTr="00BF1CB1">
        <w:trPr>
          <w:trHeight w:val="55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CB1" w:rsidRDefault="00BF1CB1" w:rsidP="00697F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Postignuti bodovi</w:t>
            </w:r>
            <w:r>
              <w:rPr>
                <w:rStyle w:val="FootnoteReference"/>
                <w:rFonts w:asciiTheme="minorHAnsi" w:hAnsiTheme="minorHAnsi" w:cs="Arial"/>
                <w:b/>
                <w:sz w:val="24"/>
                <w:szCs w:val="24"/>
              </w:rPr>
              <w:footnoteReference w:id="1"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, %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CB1" w:rsidRDefault="00BF1CB1" w:rsidP="00697F3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Ocjena</w:t>
            </w:r>
          </w:p>
        </w:tc>
      </w:tr>
      <w:tr w:rsidR="00BF1CB1" w:rsidTr="00BF1CB1">
        <w:trPr>
          <w:trHeight w:val="42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CB1" w:rsidRDefault="00BF1CB1" w:rsidP="00697F3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  – 49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CB1" w:rsidRDefault="00BF1CB1" w:rsidP="00697F3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nedovoljan (1)</w:t>
            </w:r>
          </w:p>
        </w:tc>
      </w:tr>
      <w:tr w:rsidR="00BF1CB1" w:rsidTr="00BF1CB1">
        <w:trPr>
          <w:trHeight w:val="42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CB1" w:rsidRDefault="00BF1CB1" w:rsidP="00697F3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50 – 64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CB1" w:rsidRDefault="00BF1CB1" w:rsidP="00697F3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dovoljan (2)</w:t>
            </w:r>
          </w:p>
        </w:tc>
      </w:tr>
      <w:tr w:rsidR="00BF1CB1" w:rsidTr="00BF1CB1">
        <w:trPr>
          <w:trHeight w:val="42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CB1" w:rsidRDefault="00BF1CB1" w:rsidP="00697F3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65 – 79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CB1" w:rsidRDefault="00BF1CB1" w:rsidP="00697F3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dobar (3)</w:t>
            </w:r>
          </w:p>
        </w:tc>
      </w:tr>
      <w:tr w:rsidR="00BF1CB1" w:rsidTr="00BF1CB1">
        <w:trPr>
          <w:trHeight w:val="42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CB1" w:rsidRDefault="00BF1CB1" w:rsidP="00697F3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80 – 89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CB1" w:rsidRDefault="00BF1CB1" w:rsidP="00697F3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vrlo dobar (4)</w:t>
            </w:r>
          </w:p>
        </w:tc>
      </w:tr>
      <w:tr w:rsidR="00BF1CB1" w:rsidTr="00BF1CB1">
        <w:trPr>
          <w:trHeight w:val="42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CB1" w:rsidRDefault="00BF1CB1" w:rsidP="00697F3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90 – 100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CB1" w:rsidRDefault="00BF1CB1" w:rsidP="00697F3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odličan (5)</w:t>
            </w:r>
          </w:p>
        </w:tc>
      </w:tr>
    </w:tbl>
    <w:p w:rsidR="00BF1CB1" w:rsidRDefault="00BF1CB1"/>
    <w:p w:rsidR="00BF1CB1" w:rsidRDefault="00BF1CB1"/>
    <w:p w:rsidR="00BF1CB1" w:rsidRDefault="00BF1CB1"/>
    <w:p w:rsidR="00BF1CB1" w:rsidRDefault="00BF1CB1"/>
    <w:p w:rsidR="00BF1CB1" w:rsidRDefault="00BF1CB1"/>
    <w:p w:rsidR="00BF1CB1" w:rsidRDefault="00BF1CB1" w:rsidP="00BF1CB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Plakati i PTT prezentacije: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559"/>
        <w:gridCol w:w="1701"/>
        <w:gridCol w:w="1701"/>
        <w:gridCol w:w="1701"/>
      </w:tblGrid>
      <w:tr w:rsidR="00F24AC3" w:rsidTr="00F24A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B1" w:rsidRDefault="00BF1CB1" w:rsidP="00BF1CB1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B1" w:rsidRDefault="00BF1CB1" w:rsidP="00BF1CB1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B1" w:rsidRDefault="00BF1CB1" w:rsidP="00BF1CB1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B1" w:rsidRDefault="00BF1CB1" w:rsidP="00BF1CB1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B1" w:rsidRDefault="00BF1CB1" w:rsidP="00BF1CB1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B1" w:rsidRDefault="00BF1CB1" w:rsidP="00BF1CB1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</w:tr>
      <w:tr w:rsidR="00F24AC3" w:rsidTr="00F24A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B1" w:rsidRDefault="00BF1CB1" w:rsidP="00BF1CB1">
            <w:pPr>
              <w:tabs>
                <w:tab w:val="left" w:pos="1430"/>
              </w:tabs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JASNOĆA</w:t>
            </w:r>
          </w:p>
          <w:p w:rsidR="00BF1CB1" w:rsidRDefault="00BF1CB1" w:rsidP="00BF1CB1">
            <w:pPr>
              <w:tabs>
                <w:tab w:val="left" w:pos="1430"/>
              </w:tabs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PORUKE</w:t>
            </w:r>
          </w:p>
          <w:p w:rsidR="00BF1CB1" w:rsidRDefault="00BF1CB1" w:rsidP="00BF1CB1">
            <w:pPr>
              <w:tabs>
                <w:tab w:val="left" w:pos="1430"/>
              </w:tabs>
              <w:jc w:val="center"/>
              <w:rPr>
                <w:rFonts w:asciiTheme="minorHAnsi" w:hAnsiTheme="minorHAnsi" w:cs="Arial"/>
                <w:b/>
              </w:rPr>
            </w:pPr>
          </w:p>
          <w:p w:rsidR="00BF1CB1" w:rsidRDefault="00BF1CB1" w:rsidP="00BF1CB1">
            <w:pPr>
              <w:tabs>
                <w:tab w:val="left" w:pos="1430"/>
              </w:tabs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KVALITETA</w:t>
            </w:r>
          </w:p>
          <w:p w:rsidR="00BF1CB1" w:rsidRDefault="00BF1CB1" w:rsidP="00BF1CB1">
            <w:pPr>
              <w:tabs>
                <w:tab w:val="left" w:pos="1430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SADRŽAJA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Cilj i svrha jasno i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precizno izloženi.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Sadržaj visoke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razine, tehnički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dotjerano, zanimljivo</w:t>
            </w:r>
          </w:p>
          <w:p w:rsidR="00BF1CB1" w:rsidRDefault="00BF1CB1" w:rsidP="00BF1CB1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 jasno.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Sadrži sve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elemente. Nije potpuno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postignuta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jasnoća cilja.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Razrada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problema na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visokoj razini, ali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neprilagođeno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široj javnosti. Ne pobuđuje osobito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zanimanje</w:t>
            </w:r>
          </w:p>
          <w:p w:rsidR="00BF1CB1" w:rsidRDefault="00BF1CB1" w:rsidP="00BF1CB1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publike.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Djelomično jasna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poruka.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Pristup dobar.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Obrada podataka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nedovoljno</w:t>
            </w:r>
          </w:p>
          <w:p w:rsidR="00BF1CB1" w:rsidRDefault="00BF1CB1" w:rsidP="00BF1CB1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atraktivna.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Otežano praćenje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naznačene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poruke.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Niska razina. Ne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pobuđuje interes</w:t>
            </w:r>
          </w:p>
          <w:p w:rsidR="00BF1CB1" w:rsidRDefault="00BF1CB1" w:rsidP="00BF1CB1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promatrača.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Nerazumljiva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poruka.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Preniska razina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obrade sadržaja.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Sadrži opće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pojmove, nema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dubine ili ne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sadrži relevantne</w:t>
            </w:r>
          </w:p>
          <w:p w:rsidR="00BF1CB1" w:rsidRDefault="00BF1CB1" w:rsidP="00BF1CB1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(valjane podatke).</w:t>
            </w:r>
          </w:p>
        </w:tc>
      </w:tr>
      <w:tr w:rsidR="00F24AC3" w:rsidTr="00F24A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B1" w:rsidRDefault="00BF1CB1" w:rsidP="00BF1CB1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>KREATIVNOST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Kreativnost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maksimalno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vizualno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prepoznatljiva.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Estetski dotjerano.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Poruka, tekst,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boje i izbor slova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u službi su</w:t>
            </w:r>
          </w:p>
          <w:p w:rsidR="00BF1CB1" w:rsidRDefault="00BF1CB1" w:rsidP="00BF1CB1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sadržaja.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Kreativan, ali traži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doradu u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estetskom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izgledu. Vizualno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nedovoljno</w:t>
            </w:r>
          </w:p>
          <w:p w:rsidR="00BF1CB1" w:rsidRDefault="00BF1CB1" w:rsidP="00BF1CB1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prepoznatljiv.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Nedovoljno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zanimljivo. Nije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posve pregledno i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pobuđuje slab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interes</w:t>
            </w:r>
          </w:p>
          <w:p w:rsidR="00BF1CB1" w:rsidRDefault="00BF1CB1" w:rsidP="00BF1CB1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promatrača.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Vizualno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neatraktivno.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Loše izabrani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tekstualni i</w:t>
            </w:r>
          </w:p>
          <w:p w:rsidR="00BF1CB1" w:rsidRDefault="00BF1CB1" w:rsidP="00BF1CB1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slikovni prikazi.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Posve bez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kreativnosti.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Vizualno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neprepoznatljiva</w:t>
            </w:r>
          </w:p>
          <w:p w:rsidR="00BF1CB1" w:rsidRDefault="00BF1CB1" w:rsidP="00BF1CB1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poruka.</w:t>
            </w:r>
          </w:p>
        </w:tc>
      </w:tr>
      <w:tr w:rsidR="00F24AC3" w:rsidTr="00F24AC3">
        <w:trPr>
          <w:trHeight w:val="6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,Bold"/>
                <w:b/>
                <w:bCs/>
              </w:rPr>
            </w:pPr>
            <w:r>
              <w:rPr>
                <w:rFonts w:asciiTheme="minorHAnsi" w:eastAsiaTheme="minorHAnsi" w:hAnsiTheme="minorHAnsi" w:cs="Arial,Bold"/>
                <w:b/>
                <w:bCs/>
              </w:rPr>
              <w:t>IZGLED I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,Bold"/>
                <w:b/>
                <w:bCs/>
              </w:rPr>
            </w:pPr>
            <w:r>
              <w:rPr>
                <w:rFonts w:asciiTheme="minorHAnsi" w:eastAsiaTheme="minorHAnsi" w:hAnsiTheme="minorHAnsi" w:cs="Arial,Bold"/>
                <w:b/>
                <w:bCs/>
              </w:rPr>
              <w:t>PRIKLADNOST</w:t>
            </w:r>
          </w:p>
          <w:p w:rsidR="00BF1CB1" w:rsidRDefault="00BF1CB1" w:rsidP="00BF1CB1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="Arial,Bold"/>
                <w:b/>
                <w:bCs/>
              </w:rPr>
              <w:t>PRIKAZA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Poruka jasna,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dojmljiva,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jezgrovita,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vizualno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pregledna. Lako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se prati i bez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prisustva autora.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U velikoj mjeri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djeluje na svijest i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formiranje stavova</w:t>
            </w:r>
          </w:p>
          <w:p w:rsidR="00BF1CB1" w:rsidRDefault="00BF1CB1" w:rsidP="00BF1CB1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promatrača.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Poruka jasna, ali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je estetski plakat/PPT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nedovoljno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atraktivan, sadrži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previše detalja i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nepregledno je.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Grafički dobro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dizajnirano uz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manje estetske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dorade. Može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utjecati na svijest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promatrača, ali ne</w:t>
            </w:r>
          </w:p>
          <w:p w:rsidR="00BF1CB1" w:rsidRDefault="00BF1CB1" w:rsidP="00BF1CB1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trajno.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Poruka relativno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jasna,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nepovezana.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Slabo je uočljiva,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plakat je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nepregledan i ne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pobuđuje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zanimanje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promatrača.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Slike dobro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odabrane, ali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sadrži nedovoljno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objašnjenje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poruke. Ne djeluje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na promatrača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tako da bi mu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probudila svijest ili</w:t>
            </w:r>
          </w:p>
          <w:p w:rsidR="00BF1CB1" w:rsidRDefault="00BF1CB1" w:rsidP="00BF1CB1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formirala stav.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Poruka postoji, ali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se razumije uz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napor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promatrača.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Djeluje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nepovezano,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može se pratiti tek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uz pomoć autora.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Slike djelomično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točne i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odgovaraju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sadržaju. Otežano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se prati poruka i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ne ostavlja dublju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impresiju na</w:t>
            </w:r>
          </w:p>
          <w:p w:rsidR="00BF1CB1" w:rsidRDefault="00BF1CB1" w:rsidP="00BF1CB1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promatrača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Poruka nevidljiva.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Sadržaj postera/PPT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nije jasan.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Estetski i vizualno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nerazumljive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kombinacije slika i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teksta.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Slike nisu dobro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odabrane. Podaci su nejasni, neprilagođeni</w:t>
            </w:r>
          </w:p>
          <w:p w:rsidR="00BF1CB1" w:rsidRDefault="00BF1CB1" w:rsidP="00BF1C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osnovnoj poruci ili</w:t>
            </w:r>
          </w:p>
          <w:p w:rsidR="00BF1CB1" w:rsidRDefault="00BF1CB1" w:rsidP="00BF1CB1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nisu valjani.</w:t>
            </w:r>
          </w:p>
        </w:tc>
      </w:tr>
      <w:tr w:rsidR="00F24AC3" w:rsidTr="00F24AC3">
        <w:trPr>
          <w:trHeight w:val="46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C3" w:rsidRDefault="00F24AC3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,Bold"/>
                <w:b/>
                <w:bCs/>
              </w:rPr>
            </w:pP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,Bold"/>
                <w:b/>
                <w:bCs/>
              </w:rPr>
            </w:pPr>
            <w:r>
              <w:rPr>
                <w:rFonts w:asciiTheme="minorHAnsi" w:eastAsiaTheme="minorHAnsi" w:hAnsiTheme="minorHAnsi" w:cs="Arial,Bold"/>
                <w:b/>
                <w:bCs/>
              </w:rPr>
              <w:t>PRIMJENA</w:t>
            </w:r>
          </w:p>
          <w:p w:rsidR="00BF1CB1" w:rsidRDefault="00BF1CB1" w:rsidP="00F24AC3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="Arial,Bold"/>
                <w:b/>
                <w:bCs/>
              </w:rPr>
              <w:t>(IZLAGANJE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C3" w:rsidRDefault="00F24AC3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Gradivo u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potpunosti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povezuje i spretno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primjenjuje. Izlaže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 odgovara na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pitanja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samostalno,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koncizno, točno i</w:t>
            </w:r>
          </w:p>
          <w:p w:rsidR="00BF1CB1" w:rsidRDefault="00BF1CB1" w:rsidP="00F24AC3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jasno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C3" w:rsidRDefault="00F24AC3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Gradivo povezuje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 povremeno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primjenjuje.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Izlaganje je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samostalno i povezano.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Reproducira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uobičajene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primjere primjene, ali se ne uspijeva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snaći u nekim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drugim</w:t>
            </w:r>
          </w:p>
          <w:p w:rsidR="00BF1CB1" w:rsidRDefault="00BF1CB1" w:rsidP="00F24AC3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primjerima.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C3" w:rsidRDefault="00F24AC3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Gradivo u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djelomično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povezuje i rijetko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primjenjuje, ali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reproducira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primjere primjene.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Pri izlaganju nije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potpuno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samostalan, pomaže se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pripremljenim</w:t>
            </w:r>
          </w:p>
          <w:p w:rsidR="00BF1CB1" w:rsidRDefault="00BF1CB1" w:rsidP="00F24AC3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sažetkom</w:t>
            </w:r>
            <w:r>
              <w:rPr>
                <w:rFonts w:asciiTheme="minorHAnsi" w:eastAsiaTheme="minorHAnsi" w:hAnsiTheme="minorHAnsi" w:cs="Tahom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Gradivo slabo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povezuje i ne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primjenjuje u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novim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situacijama, već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samo reproducira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primjere primjene.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Izlaže nesigurno,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nije samostalan u izlaganju,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potrebna je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pomoć pri</w:t>
            </w:r>
          </w:p>
          <w:p w:rsidR="00BF1CB1" w:rsidRDefault="00BF1CB1" w:rsidP="00F24AC3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izlaganju.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C3" w:rsidRDefault="00F24AC3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Gradivo ne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povezuje i ne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primjenjuje, niti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reproducira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primjere primjene.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Izlaže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nepovezano, sve</w:t>
            </w:r>
          </w:p>
          <w:p w:rsidR="00BF1CB1" w:rsidRDefault="00BF1CB1" w:rsidP="00F24A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čita s plakata ili</w:t>
            </w:r>
          </w:p>
          <w:p w:rsidR="00BF1CB1" w:rsidRDefault="00BF1CB1" w:rsidP="00F24AC3">
            <w:pPr>
              <w:pStyle w:val="ListParagraph"/>
              <w:tabs>
                <w:tab w:val="left" w:pos="1430"/>
              </w:tabs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prezentacije</w:t>
            </w:r>
            <w:r>
              <w:rPr>
                <w:rFonts w:asciiTheme="minorHAnsi" w:eastAsiaTheme="minorHAnsi" w:hAnsiTheme="minorHAnsi" w:cs="Tahoma"/>
              </w:rPr>
              <w:t>.</w:t>
            </w:r>
          </w:p>
        </w:tc>
      </w:tr>
    </w:tbl>
    <w:p w:rsidR="00BF1CB1" w:rsidRPr="00BF1CB1" w:rsidRDefault="00BF1CB1" w:rsidP="00BF1CB1">
      <w:pPr>
        <w:rPr>
          <w:b/>
          <w:sz w:val="36"/>
          <w:szCs w:val="36"/>
        </w:rPr>
      </w:pPr>
    </w:p>
    <w:p w:rsidR="00BF1CB1" w:rsidRDefault="00BF1CB1"/>
    <w:p w:rsidR="00BF1CB1" w:rsidRDefault="00BF1CB1"/>
    <w:p w:rsidR="00BF1CB1" w:rsidRDefault="00BF1CB1"/>
    <w:sectPr w:rsidR="00BF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7E" w:rsidRDefault="0052587E" w:rsidP="00BF1CB1">
      <w:pPr>
        <w:spacing w:after="0" w:line="240" w:lineRule="auto"/>
      </w:pPr>
      <w:r>
        <w:separator/>
      </w:r>
    </w:p>
  </w:endnote>
  <w:endnote w:type="continuationSeparator" w:id="0">
    <w:p w:rsidR="0052587E" w:rsidRDefault="0052587E" w:rsidP="00BF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7E" w:rsidRDefault="0052587E" w:rsidP="00BF1CB1">
      <w:pPr>
        <w:spacing w:after="0" w:line="240" w:lineRule="auto"/>
      </w:pPr>
      <w:r>
        <w:separator/>
      </w:r>
    </w:p>
  </w:footnote>
  <w:footnote w:type="continuationSeparator" w:id="0">
    <w:p w:rsidR="0052587E" w:rsidRDefault="0052587E" w:rsidP="00BF1CB1">
      <w:pPr>
        <w:spacing w:after="0" w:line="240" w:lineRule="auto"/>
      </w:pPr>
      <w:r>
        <w:continuationSeparator/>
      </w:r>
    </w:p>
  </w:footnote>
  <w:footnote w:id="1">
    <w:p w:rsidR="00BF1CB1" w:rsidRDefault="00BF1CB1">
      <w:pPr>
        <w:pStyle w:val="FootnoteText"/>
      </w:pPr>
      <w:r>
        <w:rPr>
          <w:rStyle w:val="FootnoteReference"/>
        </w:rPr>
        <w:footnoteRef/>
      </w:r>
      <w:r>
        <w:t xml:space="preserve"> Ovisi o težini gradiva i može se mijenjati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D0"/>
    <w:rsid w:val="001135D0"/>
    <w:rsid w:val="002B60AF"/>
    <w:rsid w:val="003B3062"/>
    <w:rsid w:val="0052587E"/>
    <w:rsid w:val="00833AD9"/>
    <w:rsid w:val="00AB3D0C"/>
    <w:rsid w:val="00BF1CB1"/>
    <w:rsid w:val="00EF02C9"/>
    <w:rsid w:val="00F24AC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C6398-B6A5-442B-B71F-CFED8F7F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C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1C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1CB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1C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1CB1"/>
    <w:pPr>
      <w:ind w:left="720"/>
      <w:contextualSpacing/>
    </w:pPr>
    <w:rPr>
      <w:rFonts w:ascii="Trebuchet MS" w:eastAsia="Trebuchet MS" w:hAnsi="Trebuchet MS"/>
    </w:rPr>
  </w:style>
  <w:style w:type="table" w:styleId="TableGrid">
    <w:name w:val="Table Grid"/>
    <w:basedOn w:val="TableNormal"/>
    <w:uiPriority w:val="59"/>
    <w:rsid w:val="00BF1C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499F-664C-4D70-82BA-4259AAC4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Gunja</dc:creator>
  <cp:keywords/>
  <dc:description/>
  <cp:lastModifiedBy>Djurdjica</cp:lastModifiedBy>
  <cp:revision>2</cp:revision>
  <dcterms:created xsi:type="dcterms:W3CDTF">2016-09-11T22:12:00Z</dcterms:created>
  <dcterms:modified xsi:type="dcterms:W3CDTF">2016-09-11T22:12:00Z</dcterms:modified>
</cp:coreProperties>
</file>